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Überschrift"/>
        <w:bidi w:val="0"/>
      </w:pPr>
      <w:r>
        <w:rPr>
          <w:rtl w:val="0"/>
        </w:rPr>
        <w:t>Themen Gruppe: Wohnen im SB 07</w:t>
      </w:r>
    </w:p>
    <w:p>
      <w:pPr>
        <w:pStyle w:val="Text"/>
        <w:bidi w:val="0"/>
      </w:pPr>
    </w:p>
    <w:p>
      <w:pPr>
        <w:pStyle w:val="Überschrift 3"/>
        <w:bidi w:val="0"/>
      </w:pPr>
      <w:r>
        <w:rPr>
          <w:rtl w:val="0"/>
        </w:rPr>
        <w:t>Quellenbusch als Beispiel f</w:t>
      </w:r>
      <w:r>
        <w:rPr>
          <w:rtl w:val="0"/>
        </w:rPr>
        <w:t>ü</w:t>
      </w:r>
      <w:r>
        <w:rPr>
          <w:rtl w:val="0"/>
        </w:rPr>
        <w:t>r guten und schnellen Wohnungsbau:</w:t>
      </w: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2031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 xml:space="preserve">Zwischen 2006 und 2014: 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  <w:r>
              <w:rPr>
                <w:rtl w:val="0"/>
              </w:rPr>
              <w:t xml:space="preserve">Insg. 377 Wohneinheiten, davon: 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numPr>
                <w:ilvl w:val="0"/>
                <w:numId w:val="1"/>
              </w:numPr>
              <w:bidi w:val="0"/>
            </w:pPr>
            <w:r>
              <w:rPr>
                <w:rtl w:val="0"/>
              </w:rPr>
              <w:t>185 Wohnungen ohne Sozialvertr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glichkeit,</w:t>
            </w:r>
          </w:p>
          <w:p>
            <w:pPr>
              <w:pStyle w:val="Tabellenstil 2"/>
              <w:numPr>
                <w:ilvl w:val="0"/>
                <w:numId w:val="1"/>
              </w:numPr>
              <w:bidi w:val="0"/>
            </w:pPr>
            <w:r>
              <w:rPr>
                <w:rtl w:val="0"/>
              </w:rPr>
              <w:t>46 Rheinh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user ohne Sozialvertr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glichkeit,</w:t>
            </w:r>
          </w:p>
          <w:p>
            <w:pPr>
              <w:pStyle w:val="Tabellenstil 2"/>
              <w:numPr>
                <w:ilvl w:val="0"/>
                <w:numId w:val="1"/>
              </w:numPr>
              <w:bidi w:val="0"/>
            </w:pPr>
            <w:r>
              <w:rPr>
                <w:rtl w:val="0"/>
              </w:rPr>
              <w:t>57 preisged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mpfte Wohnungen und</w:t>
            </w:r>
          </w:p>
          <w:p>
            <w:pPr>
              <w:pStyle w:val="Tabellenstil 2"/>
              <w:numPr>
                <w:ilvl w:val="0"/>
                <w:numId w:val="1"/>
              </w:numPr>
              <w:bidi w:val="0"/>
            </w:pPr>
            <w:r>
              <w:rPr>
                <w:rtl w:val="0"/>
              </w:rPr>
              <w:t xml:space="preserve">89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ffentlich gef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rderte Wohnungen.</w:t>
            </w:r>
          </w:p>
        </w:tc>
      </w:tr>
      <w:tr>
        <w:tblPrEx>
          <w:shd w:val="clear" w:color="auto" w:fill="auto"/>
        </w:tblPrEx>
        <w:trPr>
          <w:trHeight w:val="2031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>Zwischen 2015 und 2019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  <w:r>
              <w:rPr>
                <w:rtl w:val="0"/>
              </w:rPr>
              <w:t>Insg. 478 Wohneinheiten und ein Pfelgeheim mit 80 Pl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 xml:space="preserve">tze, davon: 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numPr>
                <w:ilvl w:val="0"/>
                <w:numId w:val="2"/>
              </w:numPr>
              <w:bidi w:val="0"/>
            </w:pPr>
            <w:r>
              <w:rPr>
                <w:rtl w:val="0"/>
              </w:rPr>
              <w:t>196 Wohnungen ohne Sozialvertr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 xml:space="preserve">glichkeit, </w:t>
            </w:r>
          </w:p>
          <w:p>
            <w:pPr>
              <w:pStyle w:val="Tabellenstil 2"/>
              <w:numPr>
                <w:ilvl w:val="0"/>
                <w:numId w:val="2"/>
              </w:numPr>
              <w:bidi w:val="0"/>
            </w:pPr>
            <w:r>
              <w:rPr>
                <w:rtl w:val="0"/>
              </w:rPr>
              <w:t>65 preisged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 xml:space="preserve">mpfte Wohnungen und </w:t>
            </w:r>
          </w:p>
          <w:p>
            <w:pPr>
              <w:pStyle w:val="Tabellenstil 2"/>
              <w:numPr>
                <w:ilvl w:val="0"/>
                <w:numId w:val="2"/>
              </w:numPr>
              <w:bidi w:val="0"/>
            </w:pPr>
            <w:r>
              <w:rPr>
                <w:rtl w:val="0"/>
              </w:rPr>
              <w:t xml:space="preserve">217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ffentlich gef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rderte Wohnungen.</w:t>
            </w:r>
          </w:p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Überschrift 3"/>
        <w:bidi w:val="0"/>
      </w:pPr>
      <w:r>
        <w:rPr>
          <w:rtl w:val="0"/>
        </w:rPr>
        <w:t>SWD: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335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>Die SWD als Motor f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 xml:space="preserve">r sozialen Wohnungsbau: 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numPr>
                <w:ilvl w:val="0"/>
                <w:numId w:val="3"/>
              </w:numPr>
              <w:bidi w:val="0"/>
            </w:pPr>
            <w:r>
              <w:rPr>
                <w:rtl w:val="0"/>
              </w:rPr>
              <w:t>»</w:t>
            </w:r>
            <w:r>
              <w:rPr>
                <w:rtl w:val="0"/>
              </w:rPr>
              <w:t>Am B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rgerhaus</w:t>
            </w:r>
            <w:r>
              <w:rPr>
                <w:rtl w:val="0"/>
              </w:rPr>
              <w:t xml:space="preserve">« </w:t>
            </w:r>
            <w:r>
              <w:rPr>
                <w:rtl w:val="0"/>
              </w:rPr>
              <w:t>4,6,8 in Hubbelrath wurden Saniert,</w:t>
            </w:r>
          </w:p>
          <w:p>
            <w:pPr>
              <w:pStyle w:val="Tabellenstil 2"/>
              <w:numPr>
                <w:ilvl w:val="0"/>
                <w:numId w:val="3"/>
              </w:numPr>
              <w:bidi w:val="0"/>
            </w:pPr>
            <w:r>
              <w:rPr>
                <w:rtl w:val="0"/>
              </w:rPr>
              <w:t>»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rkische Str.</w:t>
            </w:r>
            <w:r>
              <w:rPr>
                <w:rtl w:val="0"/>
              </w:rPr>
              <w:t xml:space="preserve">« </w:t>
            </w:r>
            <w:r>
              <w:rPr>
                <w:rtl w:val="0"/>
              </w:rPr>
              <w:t xml:space="preserve">27 - 31 und </w:t>
            </w:r>
            <w:r>
              <w:rPr>
                <w:rtl w:val="0"/>
              </w:rPr>
              <w:t>»</w:t>
            </w:r>
            <w:r>
              <w:rPr>
                <w:rtl w:val="0"/>
              </w:rPr>
              <w:t>Unter den Eichen</w:t>
            </w:r>
            <w:r>
              <w:rPr>
                <w:rtl w:val="0"/>
              </w:rPr>
              <w:t xml:space="preserve">« </w:t>
            </w:r>
            <w:r>
              <w:rPr>
                <w:rtl w:val="0"/>
              </w:rPr>
              <w:t xml:space="preserve">22 - 24 wurden nach Jahrelangem leerstand kernsaniert, </w:t>
            </w:r>
          </w:p>
          <w:p>
            <w:pPr>
              <w:pStyle w:val="Tabellenstil 2"/>
              <w:numPr>
                <w:ilvl w:val="0"/>
                <w:numId w:val="3"/>
              </w:numPr>
              <w:bidi w:val="0"/>
            </w:pPr>
            <w:r>
              <w:rPr>
                <w:rtl w:val="0"/>
              </w:rPr>
              <w:t>In der ehmaligen Unterk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nft f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 Gefl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 xml:space="preserve">chtete auf der Heyestr. sollen 62.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ffentliche gef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 xml:space="preserve">rderte Wohnungen entstehen, davon: </w:t>
            </w:r>
          </w:p>
          <w:p>
            <w:pPr>
              <w:pStyle w:val="Tabellenstil 2"/>
              <w:numPr>
                <w:ilvl w:val="2"/>
                <w:numId w:val="3"/>
              </w:numPr>
              <w:bidi w:val="0"/>
            </w:pPr>
            <w:r>
              <w:rPr>
                <w:rtl w:val="0"/>
              </w:rPr>
              <w:t>1/3 f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 Obdachlose</w:t>
            </w:r>
          </w:p>
          <w:p>
            <w:pPr>
              <w:pStyle w:val="Tabellenstil 2"/>
              <w:numPr>
                <w:ilvl w:val="2"/>
                <w:numId w:val="3"/>
              </w:numPr>
              <w:bidi w:val="0"/>
            </w:pPr>
            <w:r>
              <w:rPr>
                <w:rtl w:val="0"/>
              </w:rPr>
              <w:t>1/3 f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 Gefl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chtete Familien</w:t>
            </w:r>
          </w:p>
          <w:p>
            <w:pPr>
              <w:pStyle w:val="Tabellenstil 2"/>
              <w:numPr>
                <w:ilvl w:val="2"/>
                <w:numId w:val="3"/>
              </w:numPr>
              <w:bidi w:val="0"/>
            </w:pPr>
            <w:r>
              <w:rPr>
                <w:rtl w:val="0"/>
              </w:rPr>
              <w:t>1/3 f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 Wohnungssuchende aus der Liste des Wohnungsamtes.</w:t>
            </w:r>
          </w:p>
          <w:p>
            <w:pPr>
              <w:pStyle w:val="Tabellenstil 2"/>
              <w:numPr>
                <w:ilvl w:val="0"/>
                <w:numId w:val="3"/>
              </w:numPr>
              <w:bidi w:val="0"/>
            </w:pPr>
            <w:r>
              <w:rPr>
                <w:rtl w:val="0"/>
              </w:rPr>
              <w:t xml:space="preserve">- DRK Lohbachweg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Pflegeheim und Seniorenwohnungen erworben, 20 neue Wohnungen in 2020 geplant</w:t>
            </w:r>
          </w:p>
          <w:p>
            <w:pPr>
              <w:pStyle w:val="Tabellenstil 2"/>
              <w:numPr>
                <w:ilvl w:val="0"/>
                <w:numId w:val="3"/>
              </w:numPr>
              <w:bidi w:val="0"/>
            </w:pPr>
            <w:r>
              <w:rPr>
                <w:rtl w:val="0"/>
              </w:rPr>
              <w:t>- Benderstra</w:t>
            </w:r>
            <w:r>
              <w:rPr>
                <w:rtl w:val="0"/>
              </w:rPr>
              <w:t>ß</w:t>
            </w:r>
            <w:r>
              <w:rPr>
                <w:rtl w:val="0"/>
              </w:rPr>
              <w:t>e, in Planung sind 30 Wohnungen</w:t>
            </w:r>
          </w:p>
          <w:p>
            <w:pPr>
              <w:pStyle w:val="Tabellenstil 2"/>
              <w:numPr>
                <w:ilvl w:val="0"/>
                <w:numId w:val="3"/>
              </w:numPr>
              <w:bidi w:val="0"/>
            </w:pPr>
            <w:r>
              <w:rPr>
                <w:rtl w:val="0"/>
              </w:rPr>
              <w:t>- Blanckertzstra</w:t>
            </w:r>
            <w:r>
              <w:rPr>
                <w:rtl w:val="0"/>
              </w:rPr>
              <w:t>ß</w:t>
            </w:r>
            <w:r>
              <w:rPr>
                <w:rtl w:val="0"/>
              </w:rPr>
              <w:t>e, Wohnungsbau in Planung, Bebauungsplanverfahren notwendig</w:t>
            </w:r>
          </w:p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Überschrift 3"/>
        <w:bidi w:val="0"/>
      </w:pPr>
      <w:r>
        <w:rPr>
          <w:rtl w:val="0"/>
        </w:rPr>
        <w:t xml:space="preserve">Glasmacher Viertel; Faktencheck: 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4757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schriftung"/>
              <w:jc w:val="both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>2005</w:t>
            </w:r>
            <w:r>
              <w:rPr>
                <w:rFonts w:ascii="Arial" w:hAnsi="Arial"/>
                <w:rtl w:val="0"/>
              </w:rPr>
              <w:t xml:space="preserve"> Glash</w:t>
            </w:r>
            <w:r>
              <w:rPr>
                <w:rFonts w:ascii="Arial" w:hAnsi="Arial" w:hint="default"/>
                <w:rtl w:val="0"/>
              </w:rPr>
              <w:t>ü</w:t>
            </w:r>
            <w:r>
              <w:rPr>
                <w:rFonts w:ascii="Arial" w:hAnsi="Arial"/>
                <w:rtl w:val="0"/>
                <w:lang w:val="de-DE"/>
              </w:rPr>
              <w:t>tte geschlossen</w:t>
            </w:r>
          </w:p>
          <w:p>
            <w:pPr>
              <w:pStyle w:val="Beschriftung"/>
              <w:jc w:val="both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 xml:space="preserve">2008 </w:t>
            </w:r>
            <w:r>
              <w:rPr>
                <w:rFonts w:ascii="Arial" w:hAnsi="Arial"/>
                <w:rtl w:val="0"/>
                <w:lang w:val="de-DE"/>
              </w:rPr>
              <w:t xml:space="preserve">Werkstattverfahren </w:t>
            </w:r>
            <w:r>
              <w:rPr>
                <w:rFonts w:ascii="Arial" w:hAnsi="Arial" w:hint="default"/>
                <w:rtl w:val="0"/>
              </w:rPr>
              <w:t>„</w:t>
            </w:r>
            <w:r>
              <w:rPr>
                <w:rFonts w:ascii="Arial" w:hAnsi="Arial"/>
                <w:rtl w:val="0"/>
                <w:lang w:val="de-DE"/>
              </w:rPr>
              <w:t>Perspektiven f</w:t>
            </w:r>
            <w:r>
              <w:rPr>
                <w:rFonts w:ascii="Arial" w:hAnsi="Arial" w:hint="default"/>
                <w:rtl w:val="0"/>
              </w:rPr>
              <w:t>ü</w:t>
            </w:r>
            <w:r>
              <w:rPr>
                <w:rFonts w:ascii="Arial" w:hAnsi="Arial"/>
                <w:rtl w:val="0"/>
                <w:lang w:val="de-DE"/>
              </w:rPr>
              <w:t>r Gerresheim-S</w:t>
            </w:r>
            <w:r>
              <w:rPr>
                <w:rFonts w:ascii="Arial" w:hAnsi="Arial" w:hint="default"/>
                <w:rtl w:val="0"/>
              </w:rPr>
              <w:t>ü</w:t>
            </w:r>
            <w:r>
              <w:rPr>
                <w:rFonts w:ascii="Arial" w:hAnsi="Arial"/>
                <w:rtl w:val="0"/>
              </w:rPr>
              <w:t>d</w:t>
            </w:r>
            <w:r>
              <w:rPr>
                <w:rFonts w:ascii="Arial" w:hAnsi="Arial" w:hint="default"/>
                <w:rtl w:val="0"/>
              </w:rPr>
              <w:t>“</w:t>
            </w:r>
            <w:r>
              <w:rPr>
                <w:rFonts w:ascii="Arial" w:hAnsi="Arial"/>
                <w:rtl w:val="0"/>
              </w:rPr>
              <w:t xml:space="preserve">, </w:t>
            </w:r>
            <w:r>
              <w:rPr>
                <w:rFonts w:ascii="Arial" w:hAnsi="Arial" w:hint="default"/>
                <w:rtl w:val="0"/>
                <w:lang w:val="de-DE"/>
              </w:rPr>
              <w:t>Ü</w:t>
            </w:r>
            <w:r>
              <w:rPr>
                <w:rFonts w:ascii="Arial" w:hAnsi="Arial"/>
                <w:rtl w:val="0"/>
                <w:lang w:val="de-DE"/>
              </w:rPr>
              <w:t>berarbeitung des Siegerentwurfes</w:t>
            </w:r>
          </w:p>
          <w:p>
            <w:pPr>
              <w:pStyle w:val="Beschriftung"/>
              <w:jc w:val="both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</w:rPr>
              <w:t>D</w:t>
            </w:r>
            <w:r>
              <w:rPr>
                <w:rFonts w:ascii="Arial" w:hAnsi="Arial" w:hint="default"/>
                <w:rtl w:val="0"/>
              </w:rPr>
              <w:t>ü</w:t>
            </w:r>
            <w:r>
              <w:rPr>
                <w:rFonts w:ascii="Arial" w:hAnsi="Arial"/>
                <w:rtl w:val="0"/>
                <w:lang w:val="de-DE"/>
              </w:rPr>
              <w:t>ssel-Park, Eigent</w:t>
            </w:r>
            <w:r>
              <w:rPr>
                <w:rFonts w:ascii="Arial" w:hAnsi="Arial" w:hint="default"/>
                <w:rtl w:val="0"/>
              </w:rPr>
              <w:t>ü</w:t>
            </w:r>
            <w:r>
              <w:rPr>
                <w:rFonts w:ascii="Arial" w:hAnsi="Arial"/>
                <w:rtl w:val="0"/>
                <w:lang w:val="de-DE"/>
              </w:rPr>
              <w:t xml:space="preserve">mer:  OI Glasspack GmbH &amp; Co.KG, ca. 580 WE, davon 70 </w:t>
            </w:r>
            <w:r>
              <w:rPr>
                <w:rFonts w:ascii="Arial" w:hAnsi="Arial" w:hint="default"/>
                <w:rtl w:val="0"/>
                <w:lang w:val="sv-SE"/>
              </w:rPr>
              <w:t>ö</w:t>
            </w:r>
            <w:r>
              <w:rPr>
                <w:rFonts w:ascii="Arial" w:hAnsi="Arial"/>
                <w:rtl w:val="0"/>
                <w:lang w:val="de-DE"/>
              </w:rPr>
              <w:t>ff. gef. und preisged</w:t>
            </w:r>
            <w:r>
              <w:rPr>
                <w:rFonts w:ascii="Arial" w:hAnsi="Arial" w:hint="default"/>
                <w:rtl w:val="0"/>
              </w:rPr>
              <w:t>ä</w:t>
            </w:r>
            <w:r>
              <w:rPr>
                <w:rFonts w:ascii="Arial" w:hAnsi="Arial"/>
                <w:rtl w:val="0"/>
                <w:lang w:val="de-DE"/>
              </w:rPr>
              <w:t>mpft</w:t>
            </w:r>
          </w:p>
          <w:p>
            <w:pPr>
              <w:pStyle w:val="Beschriftung"/>
              <w:jc w:val="both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 xml:space="preserve">2012 </w:t>
            </w:r>
            <w:r>
              <w:rPr>
                <w:rFonts w:ascii="Arial" w:hAnsi="Arial"/>
                <w:rtl w:val="0"/>
                <w:lang w:val="de-DE"/>
              </w:rPr>
              <w:t>Patrizia kauft das Grundst</w:t>
            </w:r>
            <w:r>
              <w:rPr>
                <w:rFonts w:ascii="Arial" w:hAnsi="Arial" w:hint="default"/>
                <w:rtl w:val="0"/>
              </w:rPr>
              <w:t>ü</w:t>
            </w:r>
            <w:r>
              <w:rPr>
                <w:rFonts w:ascii="Arial" w:hAnsi="Arial"/>
                <w:rtl w:val="0"/>
                <w:lang w:val="de-DE"/>
              </w:rPr>
              <w:t xml:space="preserve">ck, geplant sind nun 1400 Wohneinheiten, davon 200 </w:t>
            </w:r>
            <w:r>
              <w:rPr>
                <w:rFonts w:ascii="Arial" w:hAnsi="Arial" w:hint="default"/>
                <w:rtl w:val="0"/>
                <w:lang w:val="sv-SE"/>
              </w:rPr>
              <w:t>ö</w:t>
            </w:r>
            <w:r>
              <w:rPr>
                <w:rFonts w:ascii="Arial" w:hAnsi="Arial"/>
                <w:rtl w:val="0"/>
                <w:lang w:val="de-DE"/>
              </w:rPr>
              <w:t>ff. gef</w:t>
            </w:r>
            <w:r>
              <w:rPr>
                <w:rFonts w:ascii="Arial" w:hAnsi="Arial" w:hint="default"/>
                <w:rtl w:val="0"/>
                <w:lang w:val="sv-SE"/>
              </w:rPr>
              <w:t>ö</w:t>
            </w:r>
            <w:r>
              <w:rPr>
                <w:rFonts w:ascii="Arial" w:hAnsi="Arial"/>
                <w:rtl w:val="0"/>
                <w:lang w:val="de-DE"/>
              </w:rPr>
              <w:t>rdert und 200 preisged</w:t>
            </w:r>
            <w:r>
              <w:rPr>
                <w:rFonts w:ascii="Arial" w:hAnsi="Arial" w:hint="default"/>
                <w:rtl w:val="0"/>
              </w:rPr>
              <w:t>ä</w:t>
            </w:r>
            <w:r>
              <w:rPr>
                <w:rFonts w:ascii="Arial" w:hAnsi="Arial"/>
                <w:rtl w:val="0"/>
                <w:lang w:val="de-DE"/>
              </w:rPr>
              <w:t>mpft gem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äß </w:t>
            </w:r>
            <w:r>
              <w:rPr>
                <w:rFonts w:ascii="Arial" w:hAnsi="Arial"/>
                <w:rtl w:val="0"/>
                <w:lang w:val="de-DE"/>
              </w:rPr>
              <w:t>Handlungskonzept Wohnen 6.6.2013 (Berechnung: zus</w:t>
            </w:r>
            <w:r>
              <w:rPr>
                <w:rFonts w:ascii="Arial" w:hAnsi="Arial" w:hint="default"/>
                <w:rtl w:val="0"/>
              </w:rPr>
              <w:t>ä</w:t>
            </w:r>
            <w:r>
              <w:rPr>
                <w:rFonts w:ascii="Arial" w:hAnsi="Arial"/>
                <w:rtl w:val="0"/>
                <w:lang w:val="de-DE"/>
              </w:rPr>
              <w:t xml:space="preserve">tzliche WE 820, darauf 20 % </w:t>
            </w:r>
            <w:r>
              <w:rPr>
                <w:rFonts w:ascii="Arial" w:hAnsi="Arial" w:hint="default"/>
                <w:rtl w:val="0"/>
                <w:lang w:val="sv-SE"/>
              </w:rPr>
              <w:t>ö</w:t>
            </w:r>
            <w:r>
              <w:rPr>
                <w:rFonts w:ascii="Arial" w:hAnsi="Arial"/>
                <w:rtl w:val="0"/>
                <w:lang w:val="de-DE"/>
              </w:rPr>
              <w:t>ff. gef. und 20 % preisged</w:t>
            </w:r>
            <w:r>
              <w:rPr>
                <w:rFonts w:ascii="Arial" w:hAnsi="Arial" w:hint="default"/>
                <w:rtl w:val="0"/>
              </w:rPr>
              <w:t>ä</w:t>
            </w:r>
            <w:r>
              <w:rPr>
                <w:rFonts w:ascii="Arial" w:hAnsi="Arial"/>
                <w:rtl w:val="0"/>
                <w:lang w:val="de-DE"/>
              </w:rPr>
              <w:t>mpft = ca. 330 + die urspr</w:t>
            </w:r>
            <w:r>
              <w:rPr>
                <w:rFonts w:ascii="Arial" w:hAnsi="Arial" w:hint="default"/>
                <w:rtl w:val="0"/>
              </w:rPr>
              <w:t>ü</w:t>
            </w:r>
            <w:r>
              <w:rPr>
                <w:rFonts w:ascii="Arial" w:hAnsi="Arial"/>
                <w:rtl w:val="0"/>
                <w:lang w:val="de-DE"/>
              </w:rPr>
              <w:t xml:space="preserve">nglichen 70 = 400), </w:t>
            </w:r>
          </w:p>
          <w:p>
            <w:pPr>
              <w:pStyle w:val="Beschriftung"/>
              <w:jc w:val="both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>2014-2017</w:t>
            </w:r>
            <w:r>
              <w:rPr>
                <w:rFonts w:ascii="Arial" w:hAnsi="Arial"/>
                <w:rtl w:val="0"/>
                <w:lang w:val="de-DE"/>
              </w:rPr>
              <w:t xml:space="preserve"> Bodensanierung </w:t>
            </w:r>
          </w:p>
          <w:p>
            <w:pPr>
              <w:pStyle w:val="Beschriftung"/>
              <w:jc w:val="both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12/2017</w:t>
            </w:r>
            <w:r>
              <w:rPr>
                <w:rFonts w:ascii="Arial" w:hAnsi="Arial"/>
                <w:rtl w:val="0"/>
                <w:lang w:val="de-DE"/>
              </w:rPr>
              <w:t xml:space="preserve"> Patrizia verkauft an Brack Capital Properties NV.</w:t>
            </w:r>
          </w:p>
          <w:p>
            <w:pPr>
              <w:pStyle w:val="Beschriftung"/>
              <w:jc w:val="both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>1/2018</w:t>
            </w:r>
            <w:r>
              <w:rPr>
                <w:rFonts w:ascii="Arial" w:hAnsi="Arial"/>
                <w:rtl w:val="0"/>
                <w:lang w:val="de-DE"/>
              </w:rPr>
              <w:t xml:space="preserve"> Das Handlungskonzept Wohnen muss vollumf</w:t>
            </w:r>
            <w:r>
              <w:rPr>
                <w:rFonts w:ascii="Arial" w:hAnsi="Arial" w:hint="default"/>
                <w:rtl w:val="0"/>
              </w:rPr>
              <w:t>ä</w:t>
            </w:r>
            <w:r>
              <w:rPr>
                <w:rFonts w:ascii="Arial" w:hAnsi="Arial"/>
                <w:rtl w:val="0"/>
                <w:lang w:val="de-DE"/>
              </w:rPr>
              <w:t>nglich angewendet werden.</w:t>
            </w:r>
          </w:p>
          <w:p>
            <w:pPr>
              <w:pStyle w:val="Beschriftung"/>
              <w:jc w:val="both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2/2018</w:t>
            </w:r>
            <w:r>
              <w:rPr>
                <w:rFonts w:ascii="Arial" w:hAnsi="Arial"/>
                <w:rtl w:val="0"/>
                <w:lang w:val="es-ES_tradnl"/>
              </w:rPr>
              <w:t xml:space="preserve"> Adler Real Estate </w:t>
            </w:r>
            <w:r>
              <w:rPr>
                <w:rFonts w:ascii="Arial" w:hAnsi="Arial" w:hint="default"/>
                <w:rtl w:val="0"/>
              </w:rPr>
              <w:t>ü</w:t>
            </w:r>
            <w:r>
              <w:rPr>
                <w:rFonts w:ascii="Arial" w:hAnsi="Arial"/>
                <w:rtl w:val="0"/>
                <w:lang w:val="de-DE"/>
              </w:rPr>
              <w:t>bernimmt Brack Capital Properties</w:t>
            </w:r>
          </w:p>
          <w:p>
            <w:pPr>
              <w:pStyle w:val="Beschriftung"/>
              <w:jc w:val="both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>2018/19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 Ü</w:t>
            </w:r>
            <w:r>
              <w:rPr>
                <w:rFonts w:ascii="Arial" w:hAnsi="Arial"/>
                <w:rtl w:val="0"/>
                <w:lang w:val="de-DE"/>
              </w:rPr>
              <w:t xml:space="preserve">berarbeitung des Masterplans, insgesamt 1600 (Investor) oder 1800 (Planungsamt) Wohnungen, also 640 bis 720 </w:t>
            </w:r>
            <w:r>
              <w:rPr>
                <w:rFonts w:ascii="Arial" w:hAnsi="Arial" w:hint="default"/>
                <w:rtl w:val="0"/>
                <w:lang w:val="sv-SE"/>
              </w:rPr>
              <w:t>ö</w:t>
            </w:r>
            <w:r>
              <w:rPr>
                <w:rFonts w:ascii="Arial" w:hAnsi="Arial"/>
                <w:rtl w:val="0"/>
                <w:lang w:val="de-DE"/>
              </w:rPr>
              <w:t>ff. gef</w:t>
            </w:r>
            <w:r>
              <w:rPr>
                <w:rFonts w:ascii="Arial" w:hAnsi="Arial" w:hint="default"/>
                <w:rtl w:val="0"/>
                <w:lang w:val="sv-SE"/>
              </w:rPr>
              <w:t>ö</w:t>
            </w:r>
            <w:r>
              <w:rPr>
                <w:rFonts w:ascii="Arial" w:hAnsi="Arial"/>
                <w:rtl w:val="0"/>
                <w:lang w:val="de-DE"/>
              </w:rPr>
              <w:t>rderte und preisged</w:t>
            </w:r>
            <w:r>
              <w:rPr>
                <w:rFonts w:ascii="Arial" w:hAnsi="Arial" w:hint="default"/>
                <w:rtl w:val="0"/>
              </w:rPr>
              <w:t>ä</w:t>
            </w:r>
            <w:r>
              <w:rPr>
                <w:rFonts w:ascii="Arial" w:hAnsi="Arial"/>
                <w:rtl w:val="0"/>
                <w:lang w:val="de-DE"/>
              </w:rPr>
              <w:t>mpfte Wohnungen</w:t>
            </w:r>
          </w:p>
          <w:p>
            <w:pPr>
              <w:pStyle w:val="Beschriftung"/>
              <w:jc w:val="both"/>
            </w:pPr>
            <w:r>
              <w:rPr>
                <w:rFonts w:ascii="Arial" w:hAnsi="Arial"/>
                <w:rtl w:val="0"/>
                <w:lang w:val="de-DE"/>
              </w:rPr>
              <w:t>Bebauungsplan in Arbeit, soll noch 2019 offen gelegt werden</w:t>
            </w:r>
          </w:p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Überschrift 3"/>
        <w:bidi w:val="0"/>
      </w:pPr>
      <w:r>
        <w:rPr>
          <w:rtl w:val="0"/>
        </w:rPr>
        <w:t xml:space="preserve">Wohnraumschutzsatzung: </w:t>
      </w: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291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>Ziel: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numPr>
                <w:ilvl w:val="0"/>
                <w:numId w:val="4"/>
              </w:numPr>
              <w:bidi w:val="0"/>
            </w:pPr>
            <w:r>
              <w:rPr>
                <w:rtl w:val="0"/>
              </w:rPr>
              <w:t xml:space="preserve">Wohnungen, die bspw. durch </w:t>
            </w:r>
            <w:r>
              <w:rPr>
                <w:rtl w:val="0"/>
              </w:rPr>
              <w:t>»</w:t>
            </w:r>
            <w:r>
              <w:rPr>
                <w:rtl w:val="0"/>
              </w:rPr>
              <w:t>airbnb</w:t>
            </w:r>
            <w:r>
              <w:rPr>
                <w:rtl w:val="0"/>
              </w:rPr>
              <w:t xml:space="preserve">« </w:t>
            </w:r>
            <w:r>
              <w:rPr>
                <w:rtl w:val="0"/>
              </w:rPr>
              <w:t>dauerhaft dem Wohnungsmarkt entzogen wurden wieder f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 den Wohungsmarkt zur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 xml:space="preserve">ck zu gewinnen. </w:t>
            </w:r>
          </w:p>
          <w:p>
            <w:pPr>
              <w:pStyle w:val="Tabellenstil 2"/>
              <w:numPr>
                <w:ilvl w:val="0"/>
                <w:numId w:val="4"/>
              </w:numPr>
              <w:bidi w:val="0"/>
            </w:pPr>
            <w:r>
              <w:rPr>
                <w:rtl w:val="0"/>
              </w:rPr>
              <w:t>Wohnungen, die l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 xml:space="preserve">nger als 6 Monate aus keinem Grund Leerstehen </w:t>
            </w:r>
            <w:r>
              <w:rPr>
                <w:rtl w:val="0"/>
              </w:rPr>
              <w:t>wieder f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 den Wohungsmarkt zur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ck zu gewinnen</w:t>
            </w:r>
            <w:r>
              <w:rPr>
                <w:rtl w:val="0"/>
              </w:rPr>
              <w:t>.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  <w:r>
              <w:rPr>
                <w:rtl w:val="0"/>
              </w:rPr>
              <w:t>Ma</w:t>
            </w:r>
            <w:r>
              <w:rPr>
                <w:rtl w:val="0"/>
              </w:rPr>
              <w:t>ß</w:t>
            </w:r>
            <w:r>
              <w:rPr>
                <w:rtl w:val="0"/>
              </w:rPr>
              <w:t xml:space="preserve">nahmen: 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numPr>
                <w:ilvl w:val="0"/>
                <w:numId w:val="4"/>
              </w:numPr>
              <w:bidi w:val="0"/>
            </w:pPr>
            <w:r>
              <w:rPr>
                <w:rtl w:val="0"/>
              </w:rPr>
              <w:t>Bei einer Zweckentfremdung kann den Verantwortlichen aufgetragen werden, diese zu beenden und die Wohnungen wieder dem Wohungsmarkt zur verf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gung zu stellen. Wenn dies nicht passiert, kann ein Bu</w:t>
            </w:r>
            <w:r>
              <w:rPr>
                <w:rtl w:val="0"/>
              </w:rPr>
              <w:t>ß</w:t>
            </w:r>
            <w:r>
              <w:rPr>
                <w:rtl w:val="0"/>
              </w:rPr>
              <w:t>geld von bis zu 50.000</w:t>
            </w:r>
            <w:r>
              <w:rPr>
                <w:rtl w:val="0"/>
              </w:rPr>
              <w:t xml:space="preserve">€ </w:t>
            </w:r>
            <w:r>
              <w:rPr>
                <w:rtl w:val="0"/>
              </w:rPr>
              <w:t>erhoben werden.</w:t>
            </w:r>
          </w:p>
        </w:tc>
      </w:tr>
    </w:tbl>
    <w:p>
      <w:pPr>
        <w:pStyle w:val="Text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paragraph" w:styleId="Überschrift 3">
    <w:name w:val="Überschrift 3"/>
    <w:next w:val="Text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de-D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